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4856" w14:textId="7CB08702" w:rsidR="009D7EBC" w:rsidRDefault="00E70CCB" w:rsidP="004C7B22">
      <w:pPr>
        <w:tabs>
          <w:tab w:val="center" w:pos="4680"/>
        </w:tabs>
        <w:ind w:left="720"/>
        <w:jc w:val="both"/>
        <w:rPr>
          <w:b/>
          <w:sz w:val="22"/>
        </w:rPr>
      </w:pPr>
      <w:r>
        <w:rPr>
          <w:noProof/>
        </w:rPr>
        <w:drawing>
          <wp:inline distT="0" distB="0" distL="0" distR="0" wp14:anchorId="1B3849B2" wp14:editId="41C91074">
            <wp:extent cx="5343525" cy="348615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ADE57" w14:textId="77777777" w:rsidR="009D7EBC" w:rsidRPr="009D7EBC" w:rsidRDefault="009D7EBC" w:rsidP="009D7EBC">
      <w:pPr>
        <w:tabs>
          <w:tab w:val="center" w:pos="4680"/>
        </w:tabs>
        <w:jc w:val="both"/>
        <w:rPr>
          <w:b/>
          <w:sz w:val="24"/>
          <w:szCs w:val="24"/>
        </w:rPr>
      </w:pPr>
    </w:p>
    <w:p w14:paraId="517073F0" w14:textId="4A4864FB" w:rsidR="009D7EBC" w:rsidRPr="00AE4AD5" w:rsidRDefault="007175F5" w:rsidP="009D7EBC">
      <w:pPr>
        <w:tabs>
          <w:tab w:val="center" w:pos="4680"/>
        </w:tabs>
        <w:jc w:val="center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human </w:t>
      </w:r>
      <w:r w:rsidR="00D11EBF">
        <w:rPr>
          <w:b/>
          <w:caps/>
          <w:sz w:val="24"/>
          <w:szCs w:val="24"/>
        </w:rPr>
        <w:t>Biomaterial</w:t>
      </w:r>
      <w:r>
        <w:rPr>
          <w:b/>
          <w:caps/>
          <w:sz w:val="24"/>
          <w:szCs w:val="24"/>
        </w:rPr>
        <w:t xml:space="preserve"> </w:t>
      </w:r>
      <w:r w:rsidR="009D7EBC" w:rsidRPr="00AE4AD5">
        <w:rPr>
          <w:b/>
          <w:caps/>
          <w:sz w:val="24"/>
          <w:szCs w:val="24"/>
        </w:rPr>
        <w:t>FOR LABORATORY USE</w:t>
      </w:r>
    </w:p>
    <w:p w14:paraId="621CB133" w14:textId="77777777" w:rsidR="009D7EBC" w:rsidRPr="00AE4AD5" w:rsidRDefault="009D7EBC" w:rsidP="009D7EBC">
      <w:pPr>
        <w:rPr>
          <w:b/>
          <w:sz w:val="24"/>
          <w:szCs w:val="24"/>
        </w:rPr>
      </w:pPr>
    </w:p>
    <w:p w14:paraId="01C6EAC4" w14:textId="77777777" w:rsidR="00D06315" w:rsidRPr="00AE4AD5" w:rsidRDefault="00D06315" w:rsidP="00D06315">
      <w:pPr>
        <w:jc w:val="center"/>
        <w:rPr>
          <w:b/>
          <w:sz w:val="24"/>
          <w:szCs w:val="24"/>
          <w:u w:val="single"/>
        </w:rPr>
      </w:pPr>
      <w:r w:rsidRPr="00AE4AD5">
        <w:rPr>
          <w:b/>
          <w:sz w:val="24"/>
          <w:szCs w:val="24"/>
          <w:u w:val="single"/>
        </w:rPr>
        <w:t>TERMS AND CONDITIONS OF SALE</w:t>
      </w:r>
    </w:p>
    <w:p w14:paraId="472910A2" w14:textId="77777777" w:rsidR="004C7B22" w:rsidRPr="00AE4AD5" w:rsidRDefault="004C7B22" w:rsidP="009D7EBC">
      <w:pPr>
        <w:rPr>
          <w:b/>
          <w:sz w:val="24"/>
          <w:szCs w:val="24"/>
        </w:rPr>
      </w:pPr>
    </w:p>
    <w:p w14:paraId="0D6FEFDF" w14:textId="4B6BE253" w:rsidR="00973E72" w:rsidRPr="003808D7" w:rsidRDefault="00627096" w:rsidP="004C7B22">
      <w:pPr>
        <w:spacing w:after="200" w:line="276" w:lineRule="auto"/>
        <w:rPr>
          <w:rFonts w:eastAsiaTheme="minorHAnsi"/>
          <w:sz w:val="24"/>
          <w:szCs w:val="24"/>
        </w:rPr>
      </w:pPr>
      <w:r w:rsidRPr="00AE4AD5">
        <w:rPr>
          <w:rFonts w:eastAsiaTheme="minorHAnsi"/>
          <w:sz w:val="24"/>
          <w:szCs w:val="24"/>
        </w:rPr>
        <w:t xml:space="preserve">In exchange for </w:t>
      </w:r>
      <w:r w:rsidR="00B06515">
        <w:rPr>
          <w:rFonts w:eastAsiaTheme="minorHAnsi"/>
          <w:sz w:val="24"/>
          <w:szCs w:val="24"/>
        </w:rPr>
        <w:t>New York Blood Center, Inc. (“NYBC”),</w:t>
      </w:r>
      <w:r w:rsidRPr="00AE4AD5">
        <w:rPr>
          <w:rFonts w:eastAsiaTheme="minorHAnsi"/>
          <w:sz w:val="24"/>
          <w:szCs w:val="24"/>
        </w:rPr>
        <w:t xml:space="preserve"> supplying Customer with the </w:t>
      </w:r>
      <w:r w:rsidR="00D11EBF">
        <w:rPr>
          <w:rFonts w:eastAsiaTheme="minorHAnsi"/>
          <w:sz w:val="24"/>
          <w:szCs w:val="24"/>
        </w:rPr>
        <w:t>Biomaterial</w:t>
      </w:r>
      <w:r w:rsidRPr="00AE4AD5">
        <w:rPr>
          <w:rFonts w:eastAsiaTheme="minorHAnsi"/>
          <w:sz w:val="24"/>
          <w:szCs w:val="24"/>
        </w:rPr>
        <w:t xml:space="preserve"> </w:t>
      </w:r>
      <w:r w:rsidR="00334840">
        <w:rPr>
          <w:rFonts w:eastAsiaTheme="minorHAnsi"/>
          <w:sz w:val="24"/>
          <w:szCs w:val="24"/>
        </w:rPr>
        <w:t xml:space="preserve">set forth in </w:t>
      </w:r>
      <w:r w:rsidR="00334840" w:rsidRPr="003808D7">
        <w:rPr>
          <w:rFonts w:eastAsiaTheme="minorHAnsi"/>
          <w:b/>
          <w:sz w:val="24"/>
          <w:szCs w:val="24"/>
        </w:rPr>
        <w:t>Schedule A</w:t>
      </w:r>
      <w:r w:rsidRPr="003808D7">
        <w:rPr>
          <w:rFonts w:eastAsiaTheme="minorHAnsi"/>
          <w:sz w:val="24"/>
          <w:szCs w:val="24"/>
        </w:rPr>
        <w:t xml:space="preserve">, Customer agrees to the following terms and conditions of sale.  </w:t>
      </w:r>
    </w:p>
    <w:p w14:paraId="1A520067" w14:textId="41ED37F6" w:rsidR="00D06315" w:rsidRPr="003808D7" w:rsidRDefault="00F3605F" w:rsidP="004C7B22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NYBC</w:t>
      </w:r>
      <w:r w:rsidR="00973E72" w:rsidRPr="003808D7">
        <w:rPr>
          <w:rFonts w:eastAsiaTheme="minorHAnsi"/>
          <w:sz w:val="24"/>
          <w:szCs w:val="24"/>
        </w:rPr>
        <w:t xml:space="preserve"> </w:t>
      </w:r>
      <w:r w:rsidR="00627096" w:rsidRPr="003808D7">
        <w:rPr>
          <w:rFonts w:eastAsiaTheme="minorHAnsi"/>
          <w:sz w:val="24"/>
          <w:szCs w:val="24"/>
        </w:rPr>
        <w:t xml:space="preserve">shall </w:t>
      </w:r>
      <w:r w:rsidR="00973E72" w:rsidRPr="003808D7">
        <w:rPr>
          <w:rFonts w:eastAsiaTheme="minorHAnsi"/>
          <w:sz w:val="24"/>
          <w:szCs w:val="24"/>
        </w:rPr>
        <w:t>invoice Customer for the total cost of</w:t>
      </w:r>
      <w:r w:rsidR="00627096" w:rsidRPr="003808D7">
        <w:rPr>
          <w:rFonts w:eastAsiaTheme="minorHAnsi"/>
          <w:sz w:val="24"/>
          <w:szCs w:val="24"/>
        </w:rPr>
        <w:t xml:space="preserve"> all </w:t>
      </w:r>
      <w:r w:rsidR="00D11EBF">
        <w:rPr>
          <w:rFonts w:eastAsiaTheme="minorHAnsi"/>
          <w:sz w:val="24"/>
          <w:szCs w:val="24"/>
        </w:rPr>
        <w:t>Biomaterial</w:t>
      </w:r>
      <w:r w:rsidR="00973E72" w:rsidRPr="003808D7">
        <w:rPr>
          <w:rFonts w:eastAsiaTheme="minorHAnsi"/>
          <w:sz w:val="24"/>
          <w:szCs w:val="24"/>
        </w:rPr>
        <w:t xml:space="preserve">, as well as all shipping and transportation fees.  </w:t>
      </w:r>
      <w:r w:rsidR="00D11EBF">
        <w:rPr>
          <w:rFonts w:eastAsiaTheme="minorHAnsi"/>
          <w:sz w:val="24"/>
          <w:szCs w:val="24"/>
        </w:rPr>
        <w:t>Biomaterial</w:t>
      </w:r>
      <w:r w:rsidR="00973E72" w:rsidRPr="003808D7">
        <w:rPr>
          <w:rFonts w:eastAsiaTheme="minorHAnsi"/>
          <w:sz w:val="24"/>
          <w:szCs w:val="24"/>
        </w:rPr>
        <w:t xml:space="preserve"> shall be delivered to Customer F.O.B. </w:t>
      </w:r>
      <w:r>
        <w:rPr>
          <w:rFonts w:eastAsiaTheme="minorHAnsi"/>
          <w:sz w:val="24"/>
          <w:szCs w:val="24"/>
        </w:rPr>
        <w:t>NYBC</w:t>
      </w:r>
      <w:r w:rsidR="00973E72" w:rsidRPr="003808D7">
        <w:rPr>
          <w:rFonts w:eastAsiaTheme="minorHAnsi"/>
          <w:sz w:val="24"/>
          <w:szCs w:val="24"/>
        </w:rPr>
        <w:t xml:space="preserve"> point of shipment.  Customer shall pay all invoices</w:t>
      </w:r>
      <w:r w:rsidR="00627096" w:rsidRPr="003808D7">
        <w:rPr>
          <w:rFonts w:eastAsiaTheme="minorHAnsi"/>
          <w:sz w:val="24"/>
          <w:szCs w:val="24"/>
        </w:rPr>
        <w:t xml:space="preserve"> within thirty (30) days of </w:t>
      </w:r>
      <w:r w:rsidR="00973E72" w:rsidRPr="003808D7">
        <w:rPr>
          <w:rFonts w:eastAsiaTheme="minorHAnsi"/>
          <w:sz w:val="24"/>
          <w:szCs w:val="24"/>
        </w:rPr>
        <w:t xml:space="preserve">the invoice date.  In the case of delayed payment by </w:t>
      </w:r>
      <w:proofErr w:type="gramStart"/>
      <w:r w:rsidR="00973E72" w:rsidRPr="003808D7">
        <w:rPr>
          <w:rFonts w:eastAsiaTheme="minorHAnsi"/>
          <w:sz w:val="24"/>
          <w:szCs w:val="24"/>
        </w:rPr>
        <w:t>Customer</w:t>
      </w:r>
      <w:proofErr w:type="gramEnd"/>
      <w:r w:rsidR="00973E72" w:rsidRPr="003808D7">
        <w:rPr>
          <w:rFonts w:eastAsiaTheme="minorHAnsi"/>
          <w:sz w:val="24"/>
          <w:szCs w:val="24"/>
        </w:rPr>
        <w:t xml:space="preserve">, </w:t>
      </w:r>
      <w:r>
        <w:rPr>
          <w:rFonts w:eastAsiaTheme="minorHAnsi"/>
          <w:sz w:val="24"/>
          <w:szCs w:val="24"/>
        </w:rPr>
        <w:t>NYBC</w:t>
      </w:r>
      <w:r w:rsidR="00973E72" w:rsidRPr="003808D7">
        <w:rPr>
          <w:rFonts w:eastAsiaTheme="minorHAnsi"/>
          <w:sz w:val="24"/>
          <w:szCs w:val="24"/>
        </w:rPr>
        <w:t xml:space="preserve"> may charge interest on all amounts due and unpaid at the maximum rate permitted by applicable law </w:t>
      </w:r>
      <w:r w:rsidR="00785AC0" w:rsidRPr="003808D7">
        <w:rPr>
          <w:rFonts w:eastAsiaTheme="minorHAnsi"/>
          <w:sz w:val="24"/>
          <w:szCs w:val="24"/>
        </w:rPr>
        <w:t xml:space="preserve">from the due date </w:t>
      </w:r>
      <w:r w:rsidR="00973E72" w:rsidRPr="003808D7">
        <w:rPr>
          <w:rFonts w:eastAsiaTheme="minorHAnsi"/>
          <w:sz w:val="24"/>
          <w:szCs w:val="24"/>
        </w:rPr>
        <w:t xml:space="preserve">until payment is received.   </w:t>
      </w:r>
      <w:r w:rsidR="00627096" w:rsidRPr="003808D7">
        <w:rPr>
          <w:rFonts w:eastAsiaTheme="minorHAnsi"/>
          <w:sz w:val="24"/>
          <w:szCs w:val="24"/>
        </w:rPr>
        <w:t xml:space="preserve"> </w:t>
      </w:r>
    </w:p>
    <w:p w14:paraId="56E62058" w14:textId="7AD4016F" w:rsidR="00EF0E15" w:rsidRPr="003808D7" w:rsidRDefault="00F1137E" w:rsidP="009D7EBC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  <w:r w:rsidRPr="003808D7">
        <w:rPr>
          <w:rFonts w:eastAsiaTheme="minorHAnsi"/>
          <w:color w:val="010202"/>
          <w:sz w:val="24"/>
          <w:szCs w:val="24"/>
        </w:rPr>
        <w:t>Customer</w:t>
      </w:r>
      <w:r w:rsidR="009D7EBC" w:rsidRPr="003808D7">
        <w:rPr>
          <w:rFonts w:eastAsiaTheme="minorHAnsi"/>
          <w:color w:val="010202"/>
          <w:sz w:val="24"/>
          <w:szCs w:val="24"/>
        </w:rPr>
        <w:t xml:space="preserve"> is aware that the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 w:rsidRPr="003808D7">
        <w:rPr>
          <w:rFonts w:eastAsiaTheme="minorHAnsi"/>
          <w:color w:val="010202"/>
          <w:sz w:val="24"/>
          <w:szCs w:val="24"/>
        </w:rPr>
        <w:t xml:space="preserve"> distributed by </w:t>
      </w:r>
      <w:r w:rsidR="00F3605F">
        <w:rPr>
          <w:rFonts w:eastAsiaTheme="minorHAnsi"/>
          <w:color w:val="010202"/>
          <w:sz w:val="24"/>
          <w:szCs w:val="24"/>
        </w:rPr>
        <w:t>NYBC</w:t>
      </w:r>
      <w:r w:rsidR="009D7EBC" w:rsidRPr="003808D7">
        <w:rPr>
          <w:rFonts w:eastAsiaTheme="minorHAnsi"/>
          <w:color w:val="010202"/>
          <w:sz w:val="24"/>
          <w:szCs w:val="24"/>
        </w:rPr>
        <w:t xml:space="preserve"> </w:t>
      </w:r>
      <w:r w:rsidR="00CF3208">
        <w:rPr>
          <w:rFonts w:eastAsiaTheme="minorHAnsi"/>
          <w:color w:val="010202"/>
          <w:sz w:val="24"/>
          <w:szCs w:val="24"/>
        </w:rPr>
        <w:t>is</w:t>
      </w:r>
      <w:r w:rsidR="00EF0E15" w:rsidRPr="003808D7">
        <w:rPr>
          <w:rFonts w:eastAsiaTheme="minorHAnsi"/>
          <w:color w:val="010202"/>
          <w:sz w:val="24"/>
          <w:szCs w:val="24"/>
        </w:rPr>
        <w:t xml:space="preserve"> </w:t>
      </w:r>
      <w:r w:rsidR="009D7EBC" w:rsidRPr="003808D7">
        <w:rPr>
          <w:rFonts w:eastAsiaTheme="minorHAnsi"/>
          <w:color w:val="010202"/>
          <w:sz w:val="24"/>
          <w:szCs w:val="24"/>
        </w:rPr>
        <w:t xml:space="preserve">collected from volunteer donors who understand that their </w:t>
      </w:r>
      <w:r w:rsidR="00C83527" w:rsidRPr="003808D7">
        <w:rPr>
          <w:rFonts w:eastAsiaTheme="minorHAnsi"/>
          <w:color w:val="010202"/>
          <w:sz w:val="24"/>
          <w:szCs w:val="24"/>
        </w:rPr>
        <w:t xml:space="preserve">blood </w:t>
      </w:r>
      <w:r w:rsidR="009D7EBC" w:rsidRPr="003808D7">
        <w:rPr>
          <w:rFonts w:eastAsiaTheme="minorHAnsi"/>
          <w:color w:val="010202"/>
          <w:sz w:val="24"/>
          <w:szCs w:val="24"/>
        </w:rPr>
        <w:t xml:space="preserve">may be used for </w:t>
      </w:r>
      <w:r w:rsidR="00276B70" w:rsidRPr="003808D7">
        <w:rPr>
          <w:rFonts w:eastAsiaTheme="minorHAnsi"/>
          <w:color w:val="010202"/>
          <w:sz w:val="24"/>
          <w:szCs w:val="24"/>
        </w:rPr>
        <w:t xml:space="preserve">a variety of purposes at the discretion of </w:t>
      </w:r>
      <w:r w:rsidR="00F3605F">
        <w:rPr>
          <w:rFonts w:eastAsiaTheme="minorHAnsi"/>
          <w:color w:val="010202"/>
          <w:sz w:val="24"/>
          <w:szCs w:val="24"/>
        </w:rPr>
        <w:t>NYBC</w:t>
      </w:r>
      <w:r w:rsidR="009D7EBC" w:rsidRPr="003808D7">
        <w:rPr>
          <w:rFonts w:eastAsiaTheme="minorHAnsi"/>
          <w:color w:val="010202"/>
          <w:sz w:val="24"/>
          <w:szCs w:val="24"/>
        </w:rPr>
        <w:t xml:space="preserve">. </w:t>
      </w:r>
      <w:r w:rsidR="006D6AAF" w:rsidRPr="003808D7">
        <w:rPr>
          <w:rFonts w:eastAsiaTheme="minorHAnsi"/>
          <w:color w:val="010202"/>
          <w:sz w:val="24"/>
          <w:szCs w:val="24"/>
        </w:rPr>
        <w:t xml:space="preserve"> </w:t>
      </w:r>
    </w:p>
    <w:p w14:paraId="5573C142" w14:textId="77777777" w:rsidR="00984BF6" w:rsidRPr="003808D7" w:rsidRDefault="00984BF6" w:rsidP="009D7EBC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</w:p>
    <w:p w14:paraId="54C9F364" w14:textId="239586C7" w:rsidR="00984BF6" w:rsidRDefault="00D11EBF" w:rsidP="009D7EBC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  <w:r>
        <w:rPr>
          <w:rFonts w:eastAsiaTheme="minorHAnsi"/>
          <w:color w:val="010202"/>
          <w:sz w:val="24"/>
          <w:szCs w:val="24"/>
        </w:rPr>
        <w:t>Biomaterial</w:t>
      </w:r>
      <w:r w:rsidR="00984BF6" w:rsidRPr="003808D7">
        <w:rPr>
          <w:rFonts w:eastAsiaTheme="minorHAnsi"/>
          <w:color w:val="010202"/>
          <w:sz w:val="24"/>
          <w:szCs w:val="24"/>
        </w:rPr>
        <w:t>s manufactured under cGMP conditions</w:t>
      </w:r>
      <w:r w:rsidR="00046BDE" w:rsidRPr="003808D7">
        <w:rPr>
          <w:rFonts w:eastAsiaTheme="minorHAnsi"/>
          <w:color w:val="010202"/>
          <w:sz w:val="24"/>
          <w:szCs w:val="24"/>
        </w:rPr>
        <w:t xml:space="preserve"> are indicated as such in </w:t>
      </w:r>
      <w:r w:rsidR="00046BDE" w:rsidRPr="003808D7">
        <w:rPr>
          <w:rFonts w:eastAsiaTheme="minorHAnsi"/>
          <w:b/>
          <w:color w:val="010202"/>
          <w:sz w:val="24"/>
          <w:szCs w:val="24"/>
        </w:rPr>
        <w:t>Schedule A</w:t>
      </w:r>
      <w:r w:rsidR="00984BF6" w:rsidRPr="003808D7">
        <w:rPr>
          <w:rFonts w:eastAsiaTheme="minorHAnsi"/>
          <w:color w:val="010202"/>
          <w:sz w:val="24"/>
          <w:szCs w:val="24"/>
        </w:rPr>
        <w:t>.</w:t>
      </w:r>
      <w:r w:rsidR="00984BF6">
        <w:rPr>
          <w:rFonts w:eastAsiaTheme="minorHAnsi"/>
          <w:color w:val="010202"/>
          <w:sz w:val="24"/>
          <w:szCs w:val="24"/>
        </w:rPr>
        <w:t xml:space="preserve">  </w:t>
      </w:r>
    </w:p>
    <w:p w14:paraId="628B2B2D" w14:textId="77777777" w:rsidR="003C2FC8" w:rsidRDefault="003C2FC8" w:rsidP="009D7EBC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</w:p>
    <w:p w14:paraId="1004541D" w14:textId="3E12009E" w:rsidR="003C2FC8" w:rsidRPr="00AE4AD5" w:rsidRDefault="003C2FC8" w:rsidP="009D7EBC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  <w:r>
        <w:rPr>
          <w:rFonts w:eastAsiaTheme="minorHAnsi"/>
          <w:color w:val="010202"/>
          <w:sz w:val="24"/>
          <w:szCs w:val="24"/>
        </w:rPr>
        <w:t xml:space="preserve">The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>
        <w:rPr>
          <w:rFonts w:eastAsiaTheme="minorHAnsi"/>
          <w:color w:val="010202"/>
          <w:sz w:val="24"/>
          <w:szCs w:val="24"/>
        </w:rPr>
        <w:t xml:space="preserve"> </w:t>
      </w:r>
      <w:r w:rsidR="00CF3208">
        <w:rPr>
          <w:rFonts w:eastAsiaTheme="minorHAnsi"/>
          <w:color w:val="010202"/>
          <w:sz w:val="24"/>
          <w:szCs w:val="24"/>
        </w:rPr>
        <w:t>is</w:t>
      </w:r>
      <w:r>
        <w:rPr>
          <w:rFonts w:eastAsiaTheme="minorHAnsi"/>
          <w:color w:val="010202"/>
          <w:sz w:val="24"/>
          <w:szCs w:val="24"/>
        </w:rPr>
        <w:t xml:space="preserve"> not intended to be used as transfusion products.  </w:t>
      </w:r>
    </w:p>
    <w:p w14:paraId="111B8C31" w14:textId="77777777" w:rsidR="00984BF6" w:rsidRPr="00AE4AD5" w:rsidRDefault="00984BF6" w:rsidP="009D7EBC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</w:p>
    <w:p w14:paraId="68DDFB5B" w14:textId="67A6F66D" w:rsidR="006D6AAF" w:rsidRDefault="00066A55" w:rsidP="00066A55">
      <w:pPr>
        <w:spacing w:after="200" w:line="276" w:lineRule="auto"/>
        <w:rPr>
          <w:rFonts w:eastAsiaTheme="minorHAnsi"/>
          <w:b/>
          <w:color w:val="010202"/>
          <w:sz w:val="24"/>
          <w:szCs w:val="24"/>
        </w:rPr>
      </w:pPr>
      <w:r w:rsidRPr="002911A9">
        <w:rPr>
          <w:rFonts w:eastAsiaTheme="minorHAnsi"/>
          <w:b/>
          <w:color w:val="010202"/>
          <w:sz w:val="24"/>
          <w:szCs w:val="24"/>
        </w:rPr>
        <w:t>Customer represents and warrants that it will not</w:t>
      </w:r>
      <w:r w:rsidR="00F1137E" w:rsidRPr="002911A9">
        <w:rPr>
          <w:rFonts w:eastAsiaTheme="minorHAnsi"/>
          <w:b/>
          <w:color w:val="010202"/>
          <w:sz w:val="24"/>
          <w:szCs w:val="24"/>
        </w:rPr>
        <w:t xml:space="preserve"> use the </w:t>
      </w:r>
      <w:r w:rsidR="00D11EBF">
        <w:rPr>
          <w:rFonts w:eastAsiaTheme="minorHAnsi"/>
          <w:b/>
          <w:color w:val="010202"/>
          <w:sz w:val="24"/>
          <w:szCs w:val="24"/>
        </w:rPr>
        <w:t>Biomaterial</w:t>
      </w:r>
      <w:r w:rsidR="00F1137E" w:rsidRPr="002911A9">
        <w:rPr>
          <w:rFonts w:eastAsiaTheme="minorHAnsi"/>
          <w:b/>
          <w:color w:val="010202"/>
          <w:sz w:val="24"/>
          <w:szCs w:val="24"/>
        </w:rPr>
        <w:t xml:space="preserve"> for transfusion into humans.  </w:t>
      </w:r>
    </w:p>
    <w:p w14:paraId="02BD5838" w14:textId="1067F1C0" w:rsidR="00D11EBF" w:rsidRDefault="00D11EBF" w:rsidP="00D11EBF">
      <w:pPr>
        <w:rPr>
          <w:sz w:val="24"/>
          <w:szCs w:val="24"/>
        </w:rPr>
      </w:pPr>
      <w:r w:rsidRPr="00FE791D">
        <w:rPr>
          <w:rFonts w:eastAsiaTheme="minorHAnsi"/>
          <w:color w:val="010202"/>
          <w:sz w:val="24"/>
          <w:szCs w:val="24"/>
        </w:rPr>
        <w:t>Customer agrees that it will not perform whole genome sequencing or mapping on the Biomaterial.  Customer will not attempt to reidentify the source of the Biomaterial using genetic testing.</w:t>
      </w:r>
      <w:r w:rsidRPr="00FE791D">
        <w:rPr>
          <w:rFonts w:eastAsiaTheme="minorHAnsi"/>
          <w:sz w:val="24"/>
          <w:szCs w:val="24"/>
        </w:rPr>
        <w:t xml:space="preserve">  </w:t>
      </w:r>
      <w:r w:rsidRPr="00FE791D">
        <w:rPr>
          <w:sz w:val="24"/>
          <w:szCs w:val="24"/>
        </w:rPr>
        <w:t xml:space="preserve">Customer will not use the Biomaterial to establish immortalized cell lines, including Induced Pluripotent Stem Cell (“IPSC”) lines.   </w:t>
      </w:r>
      <w:proofErr w:type="gramStart"/>
      <w:r w:rsidRPr="00FE791D">
        <w:rPr>
          <w:sz w:val="24"/>
          <w:szCs w:val="24"/>
        </w:rPr>
        <w:t>Customer</w:t>
      </w:r>
      <w:proofErr w:type="gramEnd"/>
      <w:r w:rsidRPr="00FE791D">
        <w:rPr>
          <w:sz w:val="24"/>
          <w:szCs w:val="24"/>
        </w:rPr>
        <w:t xml:space="preserve"> agrees that it shall ensure that any entity to which it may transfer the Biomaterial, or a derivative thereof, agrees in writing to these same restrictions.  </w:t>
      </w:r>
    </w:p>
    <w:p w14:paraId="7EB20686" w14:textId="77777777" w:rsidR="00D11EBF" w:rsidRPr="00290D6B" w:rsidRDefault="00D11EBF" w:rsidP="00290D6B">
      <w:pPr>
        <w:rPr>
          <w:sz w:val="24"/>
          <w:szCs w:val="24"/>
        </w:rPr>
      </w:pPr>
    </w:p>
    <w:p w14:paraId="2700BDCF" w14:textId="0E48399F" w:rsidR="00F11757" w:rsidRPr="00F11757" w:rsidRDefault="00F3605F" w:rsidP="00066A55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color w:val="010202"/>
          <w:sz w:val="24"/>
          <w:szCs w:val="24"/>
        </w:rPr>
        <w:t>NYBC</w:t>
      </w:r>
      <w:r w:rsidR="00F11757" w:rsidRPr="00F11757">
        <w:rPr>
          <w:rFonts w:eastAsiaTheme="minorHAnsi"/>
          <w:color w:val="010202"/>
          <w:sz w:val="24"/>
          <w:szCs w:val="24"/>
        </w:rPr>
        <w:t xml:space="preserve"> </w:t>
      </w:r>
      <w:r w:rsidR="00F11757">
        <w:rPr>
          <w:rFonts w:eastAsiaTheme="minorHAnsi"/>
          <w:color w:val="010202"/>
          <w:sz w:val="24"/>
          <w:szCs w:val="24"/>
        </w:rPr>
        <w:t xml:space="preserve">reserves the right to deny shipment if it has reason to believe that the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 w:rsidR="00F11757">
        <w:rPr>
          <w:rFonts w:eastAsiaTheme="minorHAnsi"/>
          <w:color w:val="010202"/>
          <w:sz w:val="24"/>
          <w:szCs w:val="24"/>
        </w:rPr>
        <w:t xml:space="preserve"> will be used </w:t>
      </w:r>
      <w:r w:rsidR="00984BF6">
        <w:rPr>
          <w:rFonts w:eastAsiaTheme="minorHAnsi"/>
          <w:color w:val="010202"/>
          <w:sz w:val="24"/>
          <w:szCs w:val="24"/>
        </w:rPr>
        <w:t>in any manner</w:t>
      </w:r>
      <w:r w:rsidR="00F11757">
        <w:rPr>
          <w:rFonts w:eastAsiaTheme="minorHAnsi"/>
          <w:color w:val="010202"/>
          <w:sz w:val="24"/>
          <w:szCs w:val="24"/>
        </w:rPr>
        <w:t xml:space="preserve"> </w:t>
      </w:r>
      <w:r w:rsidR="00BE3E3D">
        <w:rPr>
          <w:rFonts w:eastAsiaTheme="minorHAnsi"/>
          <w:color w:val="010202"/>
          <w:sz w:val="24"/>
          <w:szCs w:val="24"/>
        </w:rPr>
        <w:t>contrary to that</w:t>
      </w:r>
      <w:r w:rsidR="00F11757">
        <w:rPr>
          <w:rFonts w:eastAsiaTheme="minorHAnsi"/>
          <w:color w:val="010202"/>
          <w:sz w:val="24"/>
          <w:szCs w:val="24"/>
        </w:rPr>
        <w:t xml:space="preserve"> set forth herein.  </w:t>
      </w:r>
    </w:p>
    <w:p w14:paraId="0C09E133" w14:textId="5384618D" w:rsidR="00D11EBF" w:rsidRPr="00AE4AD5" w:rsidRDefault="009D7EBC" w:rsidP="008C680A">
      <w:pPr>
        <w:spacing w:after="120"/>
        <w:rPr>
          <w:rFonts w:eastAsiaTheme="minorHAnsi"/>
          <w:color w:val="010202"/>
          <w:sz w:val="24"/>
          <w:szCs w:val="24"/>
        </w:rPr>
      </w:pPr>
      <w:r w:rsidRPr="00996D67">
        <w:rPr>
          <w:rFonts w:eastAsiaTheme="minorHAnsi"/>
          <w:color w:val="010202"/>
          <w:sz w:val="24"/>
          <w:szCs w:val="24"/>
        </w:rPr>
        <w:t>Other than infectious disease test results</w:t>
      </w:r>
      <w:r w:rsidRPr="00AE4AD5">
        <w:rPr>
          <w:rFonts w:eastAsiaTheme="minorHAnsi"/>
          <w:color w:val="010202"/>
          <w:sz w:val="24"/>
          <w:szCs w:val="24"/>
        </w:rPr>
        <w:t xml:space="preserve">, </w:t>
      </w:r>
      <w:r w:rsidR="00971DCA">
        <w:rPr>
          <w:rFonts w:eastAsiaTheme="minorHAnsi"/>
          <w:color w:val="010202"/>
          <w:sz w:val="24"/>
          <w:szCs w:val="24"/>
        </w:rPr>
        <w:t xml:space="preserve">and product specifications as agreed to in advance, </w:t>
      </w:r>
      <w:r w:rsidRPr="00AE4AD5">
        <w:rPr>
          <w:rFonts w:eastAsiaTheme="minorHAnsi"/>
          <w:color w:val="010202"/>
          <w:sz w:val="24"/>
          <w:szCs w:val="24"/>
        </w:rPr>
        <w:t>no other information about the donor</w:t>
      </w:r>
      <w:r w:rsidR="00971DCA">
        <w:rPr>
          <w:rFonts w:eastAsiaTheme="minorHAnsi"/>
          <w:color w:val="010202"/>
          <w:sz w:val="24"/>
          <w:szCs w:val="24"/>
        </w:rPr>
        <w:t>s</w:t>
      </w:r>
      <w:r w:rsidRPr="00AE4AD5">
        <w:rPr>
          <w:rFonts w:eastAsiaTheme="minorHAnsi"/>
          <w:color w:val="010202"/>
          <w:sz w:val="24"/>
          <w:szCs w:val="24"/>
        </w:rPr>
        <w:t xml:space="preserve"> will be available to </w:t>
      </w:r>
      <w:proofErr w:type="gramStart"/>
      <w:r w:rsidR="00F1137E" w:rsidRPr="00AE4AD5">
        <w:rPr>
          <w:rFonts w:eastAsiaTheme="minorHAnsi"/>
          <w:color w:val="010202"/>
          <w:sz w:val="24"/>
          <w:szCs w:val="24"/>
        </w:rPr>
        <w:t>Customer</w:t>
      </w:r>
      <w:proofErr w:type="gramEnd"/>
      <w:r w:rsidRPr="00AE4AD5">
        <w:rPr>
          <w:rFonts w:eastAsiaTheme="minorHAnsi"/>
          <w:color w:val="010202"/>
          <w:sz w:val="24"/>
          <w:szCs w:val="24"/>
        </w:rPr>
        <w:t xml:space="preserve"> now or in the</w:t>
      </w:r>
      <w:r w:rsidR="00EF0E15" w:rsidRPr="00AE4AD5">
        <w:rPr>
          <w:rFonts w:eastAsiaTheme="minorHAnsi"/>
          <w:color w:val="010202"/>
          <w:sz w:val="24"/>
          <w:szCs w:val="24"/>
        </w:rPr>
        <w:t xml:space="preserve"> </w:t>
      </w:r>
      <w:r w:rsidRPr="00AE4AD5">
        <w:rPr>
          <w:rFonts w:eastAsiaTheme="minorHAnsi"/>
          <w:color w:val="010202"/>
          <w:sz w:val="24"/>
          <w:szCs w:val="24"/>
        </w:rPr>
        <w:t>future.</w:t>
      </w:r>
    </w:p>
    <w:p w14:paraId="2A4D278E" w14:textId="2E5099D5" w:rsidR="00EF0E15" w:rsidRPr="00AE4AD5" w:rsidRDefault="003D7526" w:rsidP="003D7526">
      <w:pPr>
        <w:autoSpaceDE w:val="0"/>
        <w:autoSpaceDN w:val="0"/>
        <w:adjustRightInd w:val="0"/>
        <w:rPr>
          <w:sz w:val="24"/>
          <w:szCs w:val="24"/>
        </w:rPr>
      </w:pPr>
      <w:r w:rsidRPr="00AE4AD5">
        <w:rPr>
          <w:sz w:val="24"/>
          <w:szCs w:val="24"/>
        </w:rPr>
        <w:t>Customer</w:t>
      </w:r>
      <w:r w:rsidR="00F1137E" w:rsidRPr="00AE4AD5">
        <w:rPr>
          <w:sz w:val="24"/>
          <w:szCs w:val="24"/>
        </w:rPr>
        <w:t xml:space="preserve"> agrees to use the </w:t>
      </w:r>
      <w:r w:rsidR="00D11EBF">
        <w:rPr>
          <w:sz w:val="24"/>
          <w:szCs w:val="24"/>
        </w:rPr>
        <w:t>Biomaterial</w:t>
      </w:r>
      <w:r w:rsidR="00F1137E" w:rsidRPr="00AE4AD5">
        <w:rPr>
          <w:sz w:val="24"/>
          <w:szCs w:val="24"/>
        </w:rPr>
        <w:t xml:space="preserve"> in compliance w</w:t>
      </w:r>
      <w:r w:rsidR="00A46221">
        <w:rPr>
          <w:sz w:val="24"/>
          <w:szCs w:val="24"/>
        </w:rPr>
        <w:t xml:space="preserve">ith all applicable statutes, </w:t>
      </w:r>
      <w:proofErr w:type="gramStart"/>
      <w:r w:rsidR="00F1137E" w:rsidRPr="00AE4AD5">
        <w:rPr>
          <w:sz w:val="24"/>
          <w:szCs w:val="24"/>
        </w:rPr>
        <w:t>regulations</w:t>
      </w:r>
      <w:proofErr w:type="gramEnd"/>
      <w:r w:rsidR="00A46221">
        <w:rPr>
          <w:sz w:val="24"/>
          <w:szCs w:val="24"/>
        </w:rPr>
        <w:t xml:space="preserve"> and guidance</w:t>
      </w:r>
      <w:r w:rsidR="00F1137E" w:rsidRPr="00AE4AD5">
        <w:rPr>
          <w:sz w:val="24"/>
          <w:szCs w:val="24"/>
        </w:rPr>
        <w:t>.</w:t>
      </w:r>
    </w:p>
    <w:p w14:paraId="6CF340A9" w14:textId="77777777" w:rsidR="003D7526" w:rsidRPr="00AE4AD5" w:rsidRDefault="003D7526" w:rsidP="003D7526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</w:p>
    <w:p w14:paraId="4B047793" w14:textId="1202B6AA" w:rsidR="009D7EBC" w:rsidRPr="00AE4AD5" w:rsidRDefault="003D7526" w:rsidP="009D7EBC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  <w:r w:rsidRPr="00AE4AD5">
        <w:rPr>
          <w:rFonts w:eastAsiaTheme="minorHAnsi"/>
          <w:color w:val="010202"/>
          <w:sz w:val="24"/>
          <w:szCs w:val="24"/>
        </w:rPr>
        <w:t xml:space="preserve">Customer understands that </w:t>
      </w:r>
      <w:r w:rsidR="007175F5">
        <w:rPr>
          <w:rFonts w:eastAsiaTheme="minorHAnsi"/>
          <w:color w:val="010202"/>
          <w:sz w:val="24"/>
          <w:szCs w:val="24"/>
        </w:rPr>
        <w:t xml:space="preserve">it shall handle all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 w:rsidRPr="00AE4AD5">
        <w:rPr>
          <w:rFonts w:eastAsiaTheme="minorHAnsi"/>
          <w:color w:val="010202"/>
          <w:sz w:val="24"/>
          <w:szCs w:val="24"/>
        </w:rPr>
        <w:t xml:space="preserve"> according to the “Universal Precautions” prescribed by the C</w:t>
      </w:r>
      <w:r w:rsidR="007175F5">
        <w:rPr>
          <w:rFonts w:eastAsiaTheme="minorHAnsi"/>
          <w:color w:val="010202"/>
          <w:sz w:val="24"/>
          <w:szCs w:val="24"/>
        </w:rPr>
        <w:t xml:space="preserve">enters for </w:t>
      </w:r>
      <w:r w:rsidRPr="00AE4AD5">
        <w:rPr>
          <w:rFonts w:eastAsiaTheme="minorHAnsi"/>
          <w:color w:val="010202"/>
          <w:sz w:val="24"/>
          <w:szCs w:val="24"/>
        </w:rPr>
        <w:t>D</w:t>
      </w:r>
      <w:r w:rsidR="007175F5">
        <w:rPr>
          <w:rFonts w:eastAsiaTheme="minorHAnsi"/>
          <w:color w:val="010202"/>
          <w:sz w:val="24"/>
          <w:szCs w:val="24"/>
        </w:rPr>
        <w:t xml:space="preserve">isease </w:t>
      </w:r>
      <w:r w:rsidRPr="00AE4AD5">
        <w:rPr>
          <w:rFonts w:eastAsiaTheme="minorHAnsi"/>
          <w:color w:val="010202"/>
          <w:sz w:val="24"/>
          <w:szCs w:val="24"/>
        </w:rPr>
        <w:t>C</w:t>
      </w:r>
      <w:r w:rsidR="007175F5">
        <w:rPr>
          <w:rFonts w:eastAsiaTheme="minorHAnsi"/>
          <w:color w:val="010202"/>
          <w:sz w:val="24"/>
          <w:szCs w:val="24"/>
        </w:rPr>
        <w:t>ontrol</w:t>
      </w:r>
      <w:r w:rsidR="00785AC0">
        <w:rPr>
          <w:rFonts w:eastAsiaTheme="minorHAnsi"/>
          <w:color w:val="010202"/>
          <w:sz w:val="24"/>
          <w:szCs w:val="24"/>
        </w:rPr>
        <w:t xml:space="preserve"> and Prevention</w:t>
      </w:r>
      <w:r w:rsidR="007175F5">
        <w:rPr>
          <w:rFonts w:eastAsiaTheme="minorHAnsi"/>
          <w:color w:val="010202"/>
          <w:sz w:val="24"/>
          <w:szCs w:val="24"/>
        </w:rPr>
        <w:t xml:space="preserve">, even if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 w:rsidR="007175F5">
        <w:rPr>
          <w:rFonts w:eastAsiaTheme="minorHAnsi"/>
          <w:color w:val="010202"/>
          <w:sz w:val="24"/>
          <w:szCs w:val="24"/>
        </w:rPr>
        <w:t xml:space="preserve"> </w:t>
      </w:r>
      <w:r w:rsidR="007175F5">
        <w:rPr>
          <w:rFonts w:eastAsiaTheme="minorHAnsi"/>
          <w:color w:val="010202"/>
          <w:sz w:val="24"/>
          <w:szCs w:val="24"/>
        </w:rPr>
        <w:lastRenderedPageBreak/>
        <w:t xml:space="preserve">has </w:t>
      </w:r>
      <w:r w:rsidRPr="00AE4AD5">
        <w:rPr>
          <w:rFonts w:eastAsiaTheme="minorHAnsi"/>
          <w:color w:val="010202"/>
          <w:sz w:val="24"/>
          <w:szCs w:val="24"/>
        </w:rPr>
        <w:t>tested negative on routine donor screening</w:t>
      </w:r>
      <w:r w:rsidR="00785AC0">
        <w:rPr>
          <w:rFonts w:eastAsiaTheme="minorHAnsi"/>
          <w:color w:val="010202"/>
          <w:sz w:val="24"/>
          <w:szCs w:val="24"/>
        </w:rPr>
        <w:t xml:space="preserve">.  </w:t>
      </w:r>
      <w:r w:rsidRPr="00AE4AD5">
        <w:rPr>
          <w:rFonts w:eastAsiaTheme="minorHAnsi"/>
          <w:color w:val="010202"/>
          <w:sz w:val="24"/>
          <w:szCs w:val="24"/>
        </w:rPr>
        <w:t xml:space="preserve">Customer shall dispose of </w:t>
      </w:r>
      <w:r w:rsidR="002B13B9">
        <w:rPr>
          <w:rFonts w:eastAsiaTheme="minorHAnsi"/>
          <w:color w:val="010202"/>
          <w:sz w:val="24"/>
          <w:szCs w:val="24"/>
        </w:rPr>
        <w:t xml:space="preserve">the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 w:rsidRPr="00AE4AD5">
        <w:rPr>
          <w:rFonts w:eastAsiaTheme="minorHAnsi"/>
          <w:color w:val="010202"/>
          <w:sz w:val="24"/>
          <w:szCs w:val="24"/>
        </w:rPr>
        <w:t xml:space="preserve"> in accordance with applicable Federal, </w:t>
      </w:r>
      <w:proofErr w:type="gramStart"/>
      <w:r w:rsidRPr="00AE4AD5">
        <w:rPr>
          <w:rFonts w:eastAsiaTheme="minorHAnsi"/>
          <w:color w:val="010202"/>
          <w:sz w:val="24"/>
          <w:szCs w:val="24"/>
        </w:rPr>
        <w:t>State</w:t>
      </w:r>
      <w:proofErr w:type="gramEnd"/>
      <w:r w:rsidRPr="00AE4AD5">
        <w:rPr>
          <w:rFonts w:eastAsiaTheme="minorHAnsi"/>
          <w:color w:val="010202"/>
          <w:sz w:val="24"/>
          <w:szCs w:val="24"/>
        </w:rPr>
        <w:t xml:space="preserve"> and local laws.  </w:t>
      </w:r>
    </w:p>
    <w:p w14:paraId="056C16B3" w14:textId="77777777" w:rsidR="009D7EBC" w:rsidRPr="00AE4AD5" w:rsidRDefault="009D7EBC" w:rsidP="003D7526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</w:p>
    <w:p w14:paraId="1EAF91C5" w14:textId="06114E78" w:rsidR="009D7EBC" w:rsidRPr="00F3619C" w:rsidRDefault="00AE4AD5" w:rsidP="00AE4AD5">
      <w:pPr>
        <w:autoSpaceDE w:val="0"/>
        <w:autoSpaceDN w:val="0"/>
        <w:adjustRightInd w:val="0"/>
        <w:rPr>
          <w:rFonts w:eastAsiaTheme="minorHAnsi"/>
          <w:color w:val="010202"/>
          <w:sz w:val="24"/>
          <w:szCs w:val="24"/>
        </w:rPr>
      </w:pPr>
      <w:proofErr w:type="gramStart"/>
      <w:r>
        <w:rPr>
          <w:rFonts w:eastAsiaTheme="minorHAnsi"/>
          <w:bCs/>
          <w:color w:val="010202"/>
          <w:sz w:val="24"/>
          <w:szCs w:val="24"/>
        </w:rPr>
        <w:t>Customer</w:t>
      </w:r>
      <w:proofErr w:type="gramEnd"/>
      <w:r>
        <w:rPr>
          <w:rFonts w:eastAsiaTheme="minorHAnsi"/>
          <w:bCs/>
          <w:color w:val="010202"/>
          <w:sz w:val="24"/>
          <w:szCs w:val="24"/>
        </w:rPr>
        <w:t xml:space="preserve"> understands, </w:t>
      </w:r>
      <w:proofErr w:type="gramStart"/>
      <w:r>
        <w:rPr>
          <w:rFonts w:eastAsiaTheme="minorHAnsi"/>
          <w:bCs/>
          <w:color w:val="010202"/>
          <w:sz w:val="24"/>
          <w:szCs w:val="24"/>
        </w:rPr>
        <w:t>acknowledge</w:t>
      </w:r>
      <w:r w:rsidR="00785AC0">
        <w:rPr>
          <w:rFonts w:eastAsiaTheme="minorHAnsi"/>
          <w:bCs/>
          <w:color w:val="010202"/>
          <w:sz w:val="24"/>
          <w:szCs w:val="24"/>
        </w:rPr>
        <w:t>s</w:t>
      </w:r>
      <w:proofErr w:type="gramEnd"/>
      <w:r>
        <w:rPr>
          <w:rFonts w:eastAsiaTheme="minorHAnsi"/>
          <w:bCs/>
          <w:color w:val="010202"/>
          <w:sz w:val="24"/>
          <w:szCs w:val="24"/>
        </w:rPr>
        <w:t xml:space="preserve"> and agrees </w:t>
      </w:r>
      <w:r w:rsidR="00785AC0">
        <w:rPr>
          <w:rFonts w:eastAsiaTheme="minorHAnsi"/>
          <w:bCs/>
          <w:color w:val="010202"/>
          <w:sz w:val="24"/>
          <w:szCs w:val="24"/>
        </w:rPr>
        <w:t xml:space="preserve">that </w:t>
      </w:r>
      <w:r w:rsidR="00A46221">
        <w:rPr>
          <w:rFonts w:eastAsiaTheme="minorHAnsi"/>
          <w:color w:val="010202"/>
          <w:sz w:val="24"/>
          <w:szCs w:val="24"/>
        </w:rPr>
        <w:t>NYBC make</w:t>
      </w:r>
      <w:r w:rsidR="00B06515">
        <w:rPr>
          <w:rFonts w:eastAsiaTheme="minorHAnsi"/>
          <w:color w:val="010202"/>
          <w:sz w:val="24"/>
          <w:szCs w:val="24"/>
        </w:rPr>
        <w:t>s</w:t>
      </w:r>
      <w:r w:rsidR="00A46221">
        <w:rPr>
          <w:rFonts w:eastAsiaTheme="minorHAnsi"/>
          <w:color w:val="010202"/>
          <w:sz w:val="24"/>
          <w:szCs w:val="24"/>
        </w:rPr>
        <w:t xml:space="preserve"> no representation and extend</w:t>
      </w:r>
      <w:r w:rsidR="00B06515">
        <w:rPr>
          <w:rFonts w:eastAsiaTheme="minorHAnsi"/>
          <w:color w:val="010202"/>
          <w:sz w:val="24"/>
          <w:szCs w:val="24"/>
        </w:rPr>
        <w:t>s</w:t>
      </w:r>
      <w:r w:rsidR="00A46221">
        <w:rPr>
          <w:rFonts w:eastAsiaTheme="minorHAnsi"/>
          <w:color w:val="010202"/>
          <w:sz w:val="24"/>
          <w:szCs w:val="24"/>
        </w:rPr>
        <w:t xml:space="preserve"> n</w:t>
      </w:r>
      <w:r>
        <w:rPr>
          <w:rFonts w:eastAsiaTheme="minorHAnsi"/>
          <w:color w:val="010202"/>
          <w:sz w:val="24"/>
          <w:szCs w:val="24"/>
        </w:rPr>
        <w:t xml:space="preserve">o warranties of any kind, either express or implied, with regard to any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>
        <w:rPr>
          <w:rFonts w:eastAsiaTheme="minorHAnsi"/>
          <w:color w:val="010202"/>
          <w:sz w:val="24"/>
          <w:szCs w:val="24"/>
        </w:rPr>
        <w:t>.  There are no express or implied warranties of m</w:t>
      </w:r>
      <w:r w:rsidR="007B53F0">
        <w:rPr>
          <w:rFonts w:eastAsiaTheme="minorHAnsi"/>
          <w:color w:val="010202"/>
          <w:sz w:val="24"/>
          <w:szCs w:val="24"/>
        </w:rPr>
        <w:t>erchantability</w:t>
      </w:r>
      <w:r>
        <w:rPr>
          <w:rFonts w:eastAsiaTheme="minorHAnsi"/>
          <w:color w:val="010202"/>
          <w:sz w:val="24"/>
          <w:szCs w:val="24"/>
        </w:rPr>
        <w:t xml:space="preserve">, </w:t>
      </w:r>
      <w:proofErr w:type="gramStart"/>
      <w:r>
        <w:rPr>
          <w:rFonts w:eastAsiaTheme="minorHAnsi"/>
          <w:color w:val="010202"/>
          <w:sz w:val="24"/>
          <w:szCs w:val="24"/>
        </w:rPr>
        <w:t>safety</w:t>
      </w:r>
      <w:proofErr w:type="gramEnd"/>
      <w:r>
        <w:rPr>
          <w:rFonts w:eastAsiaTheme="minorHAnsi"/>
          <w:color w:val="010202"/>
          <w:sz w:val="24"/>
          <w:szCs w:val="24"/>
        </w:rPr>
        <w:t xml:space="preserve"> or fitness for a particular pur</w:t>
      </w:r>
      <w:r w:rsidR="007B53F0">
        <w:rPr>
          <w:rFonts w:eastAsiaTheme="minorHAnsi"/>
          <w:color w:val="010202"/>
          <w:sz w:val="24"/>
          <w:szCs w:val="24"/>
        </w:rPr>
        <w:t xml:space="preserve">pose, </w:t>
      </w:r>
      <w:proofErr w:type="gramStart"/>
      <w:r w:rsidR="007B53F0">
        <w:rPr>
          <w:rFonts w:eastAsiaTheme="minorHAnsi"/>
          <w:color w:val="010202"/>
          <w:sz w:val="24"/>
          <w:szCs w:val="24"/>
        </w:rPr>
        <w:t>or</w:t>
      </w:r>
      <w:proofErr w:type="gramEnd"/>
      <w:r w:rsidR="007B53F0">
        <w:rPr>
          <w:rFonts w:eastAsiaTheme="minorHAnsi"/>
          <w:color w:val="010202"/>
          <w:sz w:val="24"/>
          <w:szCs w:val="24"/>
        </w:rPr>
        <w:t xml:space="preserve"> that the use of the </w:t>
      </w:r>
      <w:r w:rsidR="00D11EBF">
        <w:rPr>
          <w:rFonts w:eastAsiaTheme="minorHAnsi"/>
          <w:color w:val="010202"/>
          <w:sz w:val="24"/>
          <w:szCs w:val="24"/>
        </w:rPr>
        <w:t>Biomaterial</w:t>
      </w:r>
      <w:r>
        <w:rPr>
          <w:rFonts w:eastAsiaTheme="minorHAnsi"/>
          <w:color w:val="010202"/>
          <w:sz w:val="24"/>
          <w:szCs w:val="24"/>
        </w:rPr>
        <w:t xml:space="preserve"> will not infringe any patent, copyright, trademark or other </w:t>
      </w:r>
      <w:r w:rsidRPr="00625597">
        <w:rPr>
          <w:rFonts w:eastAsiaTheme="minorHAnsi"/>
          <w:color w:val="010202"/>
          <w:sz w:val="24"/>
          <w:szCs w:val="24"/>
        </w:rPr>
        <w:t xml:space="preserve">proprietary right.  Customer </w:t>
      </w:r>
      <w:r w:rsidR="009D7EBC" w:rsidRPr="00625597">
        <w:rPr>
          <w:sz w:val="24"/>
          <w:szCs w:val="24"/>
        </w:rPr>
        <w:t xml:space="preserve">assumes all liability for damages that </w:t>
      </w:r>
      <w:r w:rsidR="00A46221" w:rsidRPr="00625597">
        <w:rPr>
          <w:sz w:val="24"/>
          <w:szCs w:val="24"/>
        </w:rPr>
        <w:t xml:space="preserve">may </w:t>
      </w:r>
      <w:r w:rsidR="009D7EBC" w:rsidRPr="00625597">
        <w:rPr>
          <w:sz w:val="24"/>
          <w:szCs w:val="24"/>
        </w:rPr>
        <w:t xml:space="preserve">arise from the use, storage or disposal of the </w:t>
      </w:r>
      <w:r w:rsidR="00D11EBF">
        <w:rPr>
          <w:sz w:val="24"/>
          <w:szCs w:val="24"/>
        </w:rPr>
        <w:t>Biomaterial</w:t>
      </w:r>
      <w:r w:rsidR="009D7EBC" w:rsidRPr="00F3619C">
        <w:rPr>
          <w:sz w:val="24"/>
          <w:szCs w:val="24"/>
        </w:rPr>
        <w:t xml:space="preserve">, and </w:t>
      </w:r>
      <w:r w:rsidRPr="00F3619C">
        <w:rPr>
          <w:sz w:val="24"/>
          <w:szCs w:val="24"/>
        </w:rPr>
        <w:t xml:space="preserve">shall indemnify, defend and hold harmless NYBC with respect to any claim, loss or demand made by or against Customer by any other party related to or arising from the </w:t>
      </w:r>
      <w:r w:rsidR="00D11EBF">
        <w:rPr>
          <w:sz w:val="24"/>
          <w:szCs w:val="24"/>
        </w:rPr>
        <w:t>Biomaterial</w:t>
      </w:r>
      <w:r w:rsidRPr="00F3619C">
        <w:rPr>
          <w:sz w:val="24"/>
          <w:szCs w:val="24"/>
        </w:rPr>
        <w:t xml:space="preserve"> or Customer’s use thereof, </w:t>
      </w:r>
      <w:r w:rsidR="009D7EBC" w:rsidRPr="00F3619C">
        <w:rPr>
          <w:sz w:val="24"/>
          <w:szCs w:val="24"/>
        </w:rPr>
        <w:t>except to the extent permitted by law when caused by the gross negligence or willful misconduct of</w:t>
      </w:r>
      <w:r w:rsidR="000A5F25">
        <w:rPr>
          <w:sz w:val="24"/>
          <w:szCs w:val="24"/>
        </w:rPr>
        <w:t xml:space="preserve"> </w:t>
      </w:r>
      <w:r w:rsidR="009D7EBC" w:rsidRPr="00F3619C">
        <w:rPr>
          <w:sz w:val="24"/>
          <w:szCs w:val="24"/>
        </w:rPr>
        <w:t xml:space="preserve">NYBC.  </w:t>
      </w:r>
    </w:p>
    <w:p w14:paraId="5077E3A5" w14:textId="77777777" w:rsidR="009D7EBC" w:rsidRPr="00F3619C" w:rsidRDefault="009D7EBC" w:rsidP="009D7EBC">
      <w:pPr>
        <w:spacing w:after="53"/>
        <w:jc w:val="both"/>
        <w:rPr>
          <w:sz w:val="24"/>
          <w:szCs w:val="24"/>
        </w:rPr>
      </w:pPr>
    </w:p>
    <w:p w14:paraId="226509CF" w14:textId="77777777" w:rsidR="007175F5" w:rsidRDefault="00F3619C">
      <w:pPr>
        <w:rPr>
          <w:sz w:val="24"/>
          <w:szCs w:val="24"/>
        </w:rPr>
      </w:pPr>
      <w:r>
        <w:rPr>
          <w:sz w:val="24"/>
          <w:szCs w:val="24"/>
        </w:rPr>
        <w:t>These Terms and Conditions of Sale</w:t>
      </w:r>
      <w:r w:rsidR="00625597" w:rsidRPr="00625597">
        <w:rPr>
          <w:sz w:val="24"/>
          <w:szCs w:val="24"/>
        </w:rPr>
        <w:t xml:space="preserve"> shall be governed by the laws of the State of New York</w:t>
      </w:r>
      <w:r w:rsidR="00785AC0">
        <w:rPr>
          <w:sz w:val="24"/>
          <w:szCs w:val="24"/>
        </w:rPr>
        <w:t>,</w:t>
      </w:r>
      <w:r w:rsidR="00625597" w:rsidRPr="00625597">
        <w:rPr>
          <w:sz w:val="24"/>
          <w:szCs w:val="24"/>
        </w:rPr>
        <w:t xml:space="preserve"> without regard to its conflict of </w:t>
      </w:r>
      <w:proofErr w:type="spellStart"/>
      <w:r w:rsidR="00625597" w:rsidRPr="00625597">
        <w:rPr>
          <w:sz w:val="24"/>
          <w:szCs w:val="24"/>
        </w:rPr>
        <w:t>laws</w:t>
      </w:r>
      <w:proofErr w:type="spellEnd"/>
      <w:r w:rsidR="00625597" w:rsidRPr="00625597">
        <w:rPr>
          <w:sz w:val="24"/>
          <w:szCs w:val="24"/>
        </w:rPr>
        <w:t xml:space="preserve"> provisions.  </w:t>
      </w:r>
    </w:p>
    <w:p w14:paraId="19360E03" w14:textId="77777777" w:rsidR="00625597" w:rsidRDefault="00625597">
      <w:pPr>
        <w:rPr>
          <w:sz w:val="24"/>
          <w:szCs w:val="24"/>
        </w:rPr>
      </w:pPr>
    </w:p>
    <w:p w14:paraId="49C44B54" w14:textId="77777777" w:rsidR="00807DF9" w:rsidRDefault="0037214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807DF9">
        <w:rPr>
          <w:sz w:val="24"/>
          <w:szCs w:val="24"/>
        </w:rPr>
        <w:t xml:space="preserve">Witness Whereof, the parties </w:t>
      </w:r>
      <w:r w:rsidR="00BB0E6E">
        <w:rPr>
          <w:sz w:val="24"/>
          <w:szCs w:val="24"/>
        </w:rPr>
        <w:t>named</w:t>
      </w:r>
      <w:r w:rsidR="00C86FEE">
        <w:rPr>
          <w:sz w:val="24"/>
          <w:szCs w:val="24"/>
        </w:rPr>
        <w:t xml:space="preserve"> below </w:t>
      </w:r>
      <w:r w:rsidR="00807DF9">
        <w:rPr>
          <w:sz w:val="24"/>
          <w:szCs w:val="24"/>
        </w:rPr>
        <w:t>have caused these Terms and Conditions of Sale to be executed by their respective duly authorized representatives.</w:t>
      </w:r>
    </w:p>
    <w:p w14:paraId="0A8A9EE0" w14:textId="77777777" w:rsidR="00807DF9" w:rsidRDefault="00807DF9">
      <w:pPr>
        <w:rPr>
          <w:sz w:val="24"/>
          <w:szCs w:val="24"/>
        </w:rPr>
      </w:pPr>
    </w:p>
    <w:p w14:paraId="02FDA430" w14:textId="77777777" w:rsidR="00807DF9" w:rsidRDefault="00807DF9">
      <w:pPr>
        <w:rPr>
          <w:sz w:val="24"/>
          <w:szCs w:val="24"/>
        </w:rPr>
      </w:pPr>
    </w:p>
    <w:p w14:paraId="57906A60" w14:textId="77777777" w:rsidR="00807DF9" w:rsidRDefault="00807DF9">
      <w:pPr>
        <w:rPr>
          <w:sz w:val="24"/>
          <w:szCs w:val="24"/>
        </w:rPr>
      </w:pPr>
    </w:p>
    <w:tbl>
      <w:tblPr>
        <w:tblStyle w:val="TableGrid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4968"/>
        <w:gridCol w:w="4950"/>
      </w:tblGrid>
      <w:tr w:rsidR="00807DF9" w14:paraId="0EF21922" w14:textId="77777777" w:rsidTr="00807DF9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DD3C5" w14:textId="77777777" w:rsidR="00807DF9" w:rsidRDefault="00807DF9" w:rsidP="00C86FEE">
            <w:pPr>
              <w:rPr>
                <w:rFonts w:asciiTheme="minorHAnsi" w:hAnsiTheme="minorHAnsi"/>
                <w:b/>
                <w:caps/>
                <w:sz w:val="24"/>
                <w:szCs w:val="22"/>
              </w:rPr>
            </w:pPr>
            <w:r w:rsidRPr="003808D7">
              <w:rPr>
                <w:b/>
                <w:sz w:val="24"/>
                <w:szCs w:val="22"/>
              </w:rPr>
              <w:fldChar w:fldCharType="begin"/>
            </w:r>
            <w:r w:rsidRPr="003808D7">
              <w:rPr>
                <w:b/>
                <w:sz w:val="24"/>
                <w:szCs w:val="22"/>
              </w:rPr>
              <w:instrText xml:space="preserve"> MERGEFIELD Customer_Name </w:instrText>
            </w:r>
            <w:r w:rsidRPr="003808D7">
              <w:rPr>
                <w:b/>
                <w:sz w:val="24"/>
                <w:szCs w:val="22"/>
              </w:rPr>
              <w:fldChar w:fldCharType="separate"/>
            </w:r>
            <w:r w:rsidRPr="003808D7">
              <w:rPr>
                <w:b/>
                <w:noProof/>
                <w:sz w:val="24"/>
                <w:szCs w:val="22"/>
              </w:rPr>
              <w:t>«</w:t>
            </w:r>
            <w:r w:rsidR="00C86FEE" w:rsidRPr="003808D7">
              <w:rPr>
                <w:b/>
                <w:noProof/>
                <w:sz w:val="24"/>
                <w:szCs w:val="22"/>
              </w:rPr>
              <w:t>CUSTOMER NAME</w:t>
            </w:r>
            <w:r w:rsidRPr="003808D7">
              <w:rPr>
                <w:b/>
                <w:noProof/>
                <w:sz w:val="24"/>
                <w:szCs w:val="22"/>
              </w:rPr>
              <w:t>»</w:t>
            </w:r>
            <w:r w:rsidRPr="003808D7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216D0" w14:textId="77777777" w:rsidR="00807DF9" w:rsidRDefault="00807DF9">
            <w:pPr>
              <w:rPr>
                <w:rFonts w:asciiTheme="minorHAnsi" w:hAnsiTheme="minorHAnsi"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NEW YORK BLOOD CENTER, INC.</w:t>
            </w:r>
          </w:p>
        </w:tc>
      </w:tr>
      <w:tr w:rsidR="00807DF9" w14:paraId="002E094F" w14:textId="77777777" w:rsidTr="00807DF9">
        <w:trPr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BAF2A8" w14:textId="77777777" w:rsidR="00807DF9" w:rsidRDefault="00807DF9">
            <w:pPr>
              <w:ind w:right="-360"/>
              <w:jc w:val="both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C17E9" w14:textId="77777777" w:rsidR="00807DF9" w:rsidRDefault="00807DF9">
            <w:pPr>
              <w:ind w:right="-360"/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</w:tc>
      </w:tr>
      <w:tr w:rsidR="00807DF9" w14:paraId="52A40B60" w14:textId="77777777" w:rsidTr="00807DF9">
        <w:trPr>
          <w:trHeight w:val="71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D001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By: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6199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By: </w:t>
            </w:r>
          </w:p>
        </w:tc>
      </w:tr>
      <w:tr w:rsidR="00807DF9" w14:paraId="3AD570E9" w14:textId="77777777" w:rsidTr="00807DF9">
        <w:trPr>
          <w:trHeight w:val="71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4A8C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Name: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D38C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>Name:</w:t>
            </w:r>
            <w:r>
              <w:rPr>
                <w:sz w:val="24"/>
                <w:szCs w:val="22"/>
              </w:rPr>
              <w:tab/>
            </w:r>
          </w:p>
        </w:tc>
      </w:tr>
      <w:tr w:rsidR="00807DF9" w14:paraId="429860E6" w14:textId="77777777" w:rsidTr="00807DF9">
        <w:trPr>
          <w:trHeight w:val="71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653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Title: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4329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Title: </w:t>
            </w:r>
            <w:r>
              <w:rPr>
                <w:sz w:val="24"/>
              </w:rPr>
              <w:t xml:space="preserve">   </w:t>
            </w:r>
          </w:p>
        </w:tc>
      </w:tr>
      <w:tr w:rsidR="00807DF9" w14:paraId="0B8076A3" w14:textId="77777777" w:rsidTr="00807DF9">
        <w:trPr>
          <w:trHeight w:val="710"/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2BB2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4B31" w14:textId="77777777" w:rsidR="00807DF9" w:rsidRDefault="00807DF9" w:rsidP="00807DF9">
            <w:pPr>
              <w:ind w:right="-360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Date: </w:t>
            </w:r>
          </w:p>
        </w:tc>
      </w:tr>
    </w:tbl>
    <w:p w14:paraId="5A540AE7" w14:textId="77777777" w:rsidR="00807DF9" w:rsidRPr="00F3619C" w:rsidRDefault="00807DF9">
      <w:pPr>
        <w:rPr>
          <w:sz w:val="24"/>
          <w:szCs w:val="24"/>
        </w:rPr>
      </w:pPr>
    </w:p>
    <w:p w14:paraId="653328E4" w14:textId="77777777" w:rsidR="007175F5" w:rsidRPr="00F3619C" w:rsidRDefault="007175F5">
      <w:pPr>
        <w:rPr>
          <w:sz w:val="24"/>
          <w:szCs w:val="24"/>
        </w:rPr>
      </w:pPr>
    </w:p>
    <w:p w14:paraId="76B49F06" w14:textId="77777777" w:rsidR="00625597" w:rsidRDefault="00625597">
      <w:pPr>
        <w:rPr>
          <w:sz w:val="24"/>
          <w:szCs w:val="24"/>
        </w:rPr>
      </w:pPr>
    </w:p>
    <w:p w14:paraId="0A458E1D" w14:textId="77777777" w:rsidR="00807DF9" w:rsidRDefault="00807DF9">
      <w:pPr>
        <w:rPr>
          <w:sz w:val="24"/>
          <w:szCs w:val="24"/>
        </w:rPr>
      </w:pPr>
    </w:p>
    <w:p w14:paraId="2969956D" w14:textId="77777777" w:rsidR="00807DF9" w:rsidRDefault="00807DF9">
      <w:pPr>
        <w:rPr>
          <w:sz w:val="24"/>
          <w:szCs w:val="24"/>
        </w:rPr>
      </w:pPr>
    </w:p>
    <w:p w14:paraId="5296347D" w14:textId="77777777" w:rsidR="00807DF9" w:rsidRDefault="00807DF9">
      <w:pPr>
        <w:rPr>
          <w:sz w:val="24"/>
          <w:szCs w:val="24"/>
        </w:rPr>
      </w:pPr>
    </w:p>
    <w:p w14:paraId="67687A99" w14:textId="77777777" w:rsidR="00807DF9" w:rsidRDefault="00807DF9">
      <w:pPr>
        <w:rPr>
          <w:sz w:val="24"/>
          <w:szCs w:val="24"/>
        </w:rPr>
      </w:pPr>
    </w:p>
    <w:p w14:paraId="2E341B98" w14:textId="77777777" w:rsidR="00807DF9" w:rsidRDefault="00807DF9">
      <w:pPr>
        <w:rPr>
          <w:sz w:val="24"/>
          <w:szCs w:val="24"/>
        </w:rPr>
      </w:pPr>
    </w:p>
    <w:p w14:paraId="20137228" w14:textId="77777777" w:rsidR="00807DF9" w:rsidRDefault="00807DF9">
      <w:pPr>
        <w:rPr>
          <w:sz w:val="24"/>
          <w:szCs w:val="24"/>
        </w:rPr>
      </w:pPr>
    </w:p>
    <w:p w14:paraId="250F3D80" w14:textId="77777777" w:rsidR="00971DCA" w:rsidRDefault="00971DCA"/>
    <w:p w14:paraId="54B73097" w14:textId="77777777" w:rsidR="00BB4C81" w:rsidRDefault="00BB4C81">
      <w:pPr>
        <w:rPr>
          <w:sz w:val="24"/>
          <w:szCs w:val="24"/>
        </w:rPr>
      </w:pPr>
    </w:p>
    <w:p w14:paraId="12CFE993" w14:textId="77777777" w:rsidR="00971DCA" w:rsidRDefault="00971DCA">
      <w:pPr>
        <w:rPr>
          <w:sz w:val="24"/>
          <w:szCs w:val="24"/>
        </w:rPr>
      </w:pPr>
    </w:p>
    <w:p w14:paraId="4D406246" w14:textId="77777777" w:rsidR="00971DCA" w:rsidRDefault="00971DCA">
      <w:pPr>
        <w:rPr>
          <w:sz w:val="24"/>
          <w:szCs w:val="24"/>
        </w:rPr>
      </w:pPr>
    </w:p>
    <w:p w14:paraId="3A070846" w14:textId="77777777" w:rsidR="00971DCA" w:rsidRDefault="00971DCA">
      <w:pPr>
        <w:rPr>
          <w:sz w:val="24"/>
          <w:szCs w:val="24"/>
        </w:rPr>
      </w:pPr>
    </w:p>
    <w:p w14:paraId="3AD52E09" w14:textId="77777777" w:rsidR="00807DF9" w:rsidRDefault="00807DF9">
      <w:pPr>
        <w:rPr>
          <w:sz w:val="24"/>
          <w:szCs w:val="24"/>
        </w:rPr>
      </w:pPr>
    </w:p>
    <w:p w14:paraId="1F53E97C" w14:textId="77777777" w:rsidR="00627096" w:rsidRDefault="00627096">
      <w:pPr>
        <w:rPr>
          <w:sz w:val="24"/>
          <w:szCs w:val="24"/>
        </w:rPr>
      </w:pPr>
    </w:p>
    <w:p w14:paraId="71310832" w14:textId="77777777" w:rsidR="00627096" w:rsidRDefault="00334840" w:rsidP="00334840">
      <w:pPr>
        <w:jc w:val="center"/>
        <w:rPr>
          <w:b/>
          <w:sz w:val="24"/>
          <w:szCs w:val="24"/>
          <w:u w:val="single"/>
        </w:rPr>
      </w:pPr>
      <w:r w:rsidRPr="00334840">
        <w:rPr>
          <w:b/>
          <w:sz w:val="24"/>
          <w:szCs w:val="24"/>
          <w:u w:val="single"/>
        </w:rPr>
        <w:t>SCHEDULE A</w:t>
      </w:r>
    </w:p>
    <w:p w14:paraId="01145151" w14:textId="77777777" w:rsidR="00334840" w:rsidRDefault="00334840" w:rsidP="00334840">
      <w:pPr>
        <w:jc w:val="center"/>
        <w:rPr>
          <w:b/>
          <w:sz w:val="24"/>
          <w:szCs w:val="24"/>
          <w:u w:val="single"/>
        </w:rPr>
      </w:pPr>
    </w:p>
    <w:p w14:paraId="03803A51" w14:textId="77777777" w:rsidR="00334840" w:rsidRDefault="00334840" w:rsidP="00334840">
      <w:pPr>
        <w:jc w:val="center"/>
        <w:rPr>
          <w:b/>
          <w:sz w:val="24"/>
          <w:szCs w:val="24"/>
          <w:u w:val="single"/>
        </w:rPr>
      </w:pPr>
    </w:p>
    <w:p w14:paraId="6949D724" w14:textId="60FC096A" w:rsidR="00334840" w:rsidRPr="00334840" w:rsidRDefault="00D11EBF" w:rsidP="00334840">
      <w:pPr>
        <w:jc w:val="center"/>
        <w:rPr>
          <w:sz w:val="24"/>
          <w:szCs w:val="24"/>
          <w:highlight w:val="yellow"/>
          <w:u w:val="single"/>
        </w:rPr>
      </w:pPr>
      <w:r>
        <w:rPr>
          <w:sz w:val="24"/>
          <w:szCs w:val="24"/>
          <w:highlight w:val="yellow"/>
          <w:u w:val="single"/>
        </w:rPr>
        <w:t>BIOMATERIAL</w:t>
      </w:r>
      <w:r w:rsidR="00B60872">
        <w:rPr>
          <w:sz w:val="24"/>
          <w:szCs w:val="24"/>
          <w:highlight w:val="yellow"/>
          <w:u w:val="single"/>
        </w:rPr>
        <w:t xml:space="preserve"> AND SERVICES</w:t>
      </w:r>
      <w:r w:rsidR="00334840" w:rsidRPr="00334840">
        <w:rPr>
          <w:sz w:val="24"/>
          <w:szCs w:val="24"/>
          <w:highlight w:val="yellow"/>
          <w:u w:val="single"/>
        </w:rPr>
        <w:t xml:space="preserve"> DESCRIPTION</w:t>
      </w:r>
    </w:p>
    <w:p w14:paraId="50CF81BC" w14:textId="77777777" w:rsidR="00334840" w:rsidRPr="00334840" w:rsidRDefault="00334840" w:rsidP="00334840">
      <w:pPr>
        <w:jc w:val="center"/>
        <w:rPr>
          <w:sz w:val="24"/>
          <w:szCs w:val="24"/>
          <w:highlight w:val="yellow"/>
          <w:u w:val="single"/>
        </w:rPr>
      </w:pPr>
      <w:r w:rsidRPr="00334840">
        <w:rPr>
          <w:sz w:val="24"/>
          <w:szCs w:val="24"/>
          <w:highlight w:val="yellow"/>
          <w:u w:val="single"/>
        </w:rPr>
        <w:t>AND</w:t>
      </w:r>
    </w:p>
    <w:p w14:paraId="43B0FB56" w14:textId="77777777" w:rsidR="00334840" w:rsidRPr="00334840" w:rsidRDefault="00334840" w:rsidP="003348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>FEE SCHEDULE</w:t>
      </w:r>
    </w:p>
    <w:p w14:paraId="77A6FD9D" w14:textId="77777777" w:rsidR="00334840" w:rsidRDefault="00334840">
      <w:pPr>
        <w:rPr>
          <w:sz w:val="24"/>
          <w:szCs w:val="24"/>
        </w:rPr>
      </w:pPr>
    </w:p>
    <w:p w14:paraId="5C5C5509" w14:textId="77777777" w:rsidR="00334840" w:rsidRDefault="00334840">
      <w:pPr>
        <w:rPr>
          <w:sz w:val="24"/>
          <w:szCs w:val="24"/>
        </w:rPr>
      </w:pPr>
    </w:p>
    <w:p w14:paraId="5D3734C7" w14:textId="77777777" w:rsidR="00315620" w:rsidRDefault="00315620">
      <w:pPr>
        <w:rPr>
          <w:sz w:val="24"/>
          <w:szCs w:val="24"/>
        </w:rPr>
      </w:pPr>
    </w:p>
    <w:p w14:paraId="29F08F76" w14:textId="40020DB6" w:rsidR="00BB4C81" w:rsidRPr="006D6AAF" w:rsidRDefault="00315620" w:rsidP="00315620">
      <w:pPr>
        <w:tabs>
          <w:tab w:val="left" w:pos="180"/>
        </w:tabs>
        <w:jc w:val="center"/>
        <w:rPr>
          <w:sz w:val="24"/>
          <w:szCs w:val="24"/>
        </w:rPr>
      </w:pPr>
      <w:r w:rsidRPr="00315620">
        <w:rPr>
          <w:sz w:val="24"/>
          <w:szCs w:val="24"/>
          <w:highlight w:val="yellow"/>
        </w:rPr>
        <w:t xml:space="preserve">[WHEN COMPLETING FEE SCHEDULE, INDICATE WHICH </w:t>
      </w:r>
      <w:r w:rsidR="00D11EBF">
        <w:rPr>
          <w:sz w:val="24"/>
          <w:szCs w:val="24"/>
          <w:highlight w:val="yellow"/>
        </w:rPr>
        <w:t>BIOMATERIAL</w:t>
      </w:r>
      <w:r w:rsidRPr="00315620">
        <w:rPr>
          <w:sz w:val="24"/>
          <w:szCs w:val="24"/>
          <w:highlight w:val="yellow"/>
        </w:rPr>
        <w:t>S ARE MANUFACTURED UNDER cGMP CONDITIONS]</w:t>
      </w:r>
    </w:p>
    <w:sectPr w:rsidR="00BB4C81" w:rsidRPr="006D6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97EBE"/>
    <w:multiLevelType w:val="multilevel"/>
    <w:tmpl w:val="102E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60E89"/>
    <w:multiLevelType w:val="hybridMultilevel"/>
    <w:tmpl w:val="20A4A844"/>
    <w:lvl w:ilvl="0" w:tplc="1974C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34486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779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BC"/>
    <w:rsid w:val="0001291C"/>
    <w:rsid w:val="00046BDE"/>
    <w:rsid w:val="00066A55"/>
    <w:rsid w:val="00090987"/>
    <w:rsid w:val="000A5F25"/>
    <w:rsid w:val="00140818"/>
    <w:rsid w:val="00196B7D"/>
    <w:rsid w:val="002528AE"/>
    <w:rsid w:val="002746BA"/>
    <w:rsid w:val="00276B70"/>
    <w:rsid w:val="00284AB7"/>
    <w:rsid w:val="00290D6B"/>
    <w:rsid w:val="002911A9"/>
    <w:rsid w:val="002963EF"/>
    <w:rsid w:val="002B13B9"/>
    <w:rsid w:val="00315620"/>
    <w:rsid w:val="00334840"/>
    <w:rsid w:val="0037214D"/>
    <w:rsid w:val="003808D7"/>
    <w:rsid w:val="003C2FC8"/>
    <w:rsid w:val="003D7526"/>
    <w:rsid w:val="004142C5"/>
    <w:rsid w:val="00442CB6"/>
    <w:rsid w:val="004C7B22"/>
    <w:rsid w:val="00510D50"/>
    <w:rsid w:val="005617C3"/>
    <w:rsid w:val="0060455D"/>
    <w:rsid w:val="00625597"/>
    <w:rsid w:val="00627096"/>
    <w:rsid w:val="006563FA"/>
    <w:rsid w:val="006605C7"/>
    <w:rsid w:val="00676048"/>
    <w:rsid w:val="006D6AAF"/>
    <w:rsid w:val="007175F5"/>
    <w:rsid w:val="00745D8B"/>
    <w:rsid w:val="00785AC0"/>
    <w:rsid w:val="007A5812"/>
    <w:rsid w:val="007B15AC"/>
    <w:rsid w:val="007B53F0"/>
    <w:rsid w:val="007D3397"/>
    <w:rsid w:val="008030FD"/>
    <w:rsid w:val="00804D8D"/>
    <w:rsid w:val="00807DF9"/>
    <w:rsid w:val="008258A1"/>
    <w:rsid w:val="0087309D"/>
    <w:rsid w:val="008C680A"/>
    <w:rsid w:val="009230D7"/>
    <w:rsid w:val="00936684"/>
    <w:rsid w:val="00970E01"/>
    <w:rsid w:val="00971DCA"/>
    <w:rsid w:val="00973E72"/>
    <w:rsid w:val="00984BF6"/>
    <w:rsid w:val="00996D67"/>
    <w:rsid w:val="009C2A46"/>
    <w:rsid w:val="009D7EBC"/>
    <w:rsid w:val="00A46221"/>
    <w:rsid w:val="00A64C07"/>
    <w:rsid w:val="00A717E7"/>
    <w:rsid w:val="00AA7AB4"/>
    <w:rsid w:val="00AE4AD5"/>
    <w:rsid w:val="00AE752B"/>
    <w:rsid w:val="00AF24A0"/>
    <w:rsid w:val="00B06515"/>
    <w:rsid w:val="00B52A64"/>
    <w:rsid w:val="00B60872"/>
    <w:rsid w:val="00BB0E6E"/>
    <w:rsid w:val="00BB4C81"/>
    <w:rsid w:val="00BE3E3D"/>
    <w:rsid w:val="00BF586B"/>
    <w:rsid w:val="00C522E3"/>
    <w:rsid w:val="00C83527"/>
    <w:rsid w:val="00C86FEE"/>
    <w:rsid w:val="00CB689F"/>
    <w:rsid w:val="00CF3208"/>
    <w:rsid w:val="00D06315"/>
    <w:rsid w:val="00D11EBF"/>
    <w:rsid w:val="00D32AAE"/>
    <w:rsid w:val="00D46D80"/>
    <w:rsid w:val="00DC2861"/>
    <w:rsid w:val="00E3533E"/>
    <w:rsid w:val="00E64CDC"/>
    <w:rsid w:val="00E70CCB"/>
    <w:rsid w:val="00EF07B3"/>
    <w:rsid w:val="00EF0E15"/>
    <w:rsid w:val="00F1137E"/>
    <w:rsid w:val="00F11757"/>
    <w:rsid w:val="00F3605F"/>
    <w:rsid w:val="00F3619C"/>
    <w:rsid w:val="00F46578"/>
    <w:rsid w:val="00F92233"/>
    <w:rsid w:val="00FC46BE"/>
    <w:rsid w:val="00FC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1623"/>
  <w15:docId w15:val="{E2EDD5F8-B885-46FB-87EF-1A3F23F3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B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3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E72"/>
  </w:style>
  <w:style w:type="character" w:customStyle="1" w:styleId="CommentTextChar">
    <w:name w:val="Comment Text Char"/>
    <w:basedOn w:val="DefaultParagraphFont"/>
    <w:link w:val="CommentText"/>
    <w:uiPriority w:val="99"/>
    <w:rsid w:val="00973E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E7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80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C81"/>
    <w:pPr>
      <w:ind w:left="720"/>
      <w:contextualSpacing/>
    </w:pPr>
  </w:style>
  <w:style w:type="paragraph" w:styleId="Revision">
    <w:name w:val="Revision"/>
    <w:hidden/>
    <w:uiPriority w:val="99"/>
    <w:semiHidden/>
    <w:rsid w:val="00CB6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84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FC17-AA3C-46B5-AFA8-430D604C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York Blood Center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NYBC User</dc:creator>
  <cp:lastModifiedBy>Tiso, Bernadette</cp:lastModifiedBy>
  <cp:revision>5</cp:revision>
  <dcterms:created xsi:type="dcterms:W3CDTF">2023-10-02T17:11:00Z</dcterms:created>
  <dcterms:modified xsi:type="dcterms:W3CDTF">2023-10-02T18:42:00Z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